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DB8267" w14:textId="77777777" w:rsidR="00DA66BD" w:rsidRPr="00CB6462" w:rsidRDefault="00DA66BD" w:rsidP="00DA66BD">
      <w:pPr>
        <w:shd w:val="clear" w:color="auto" w:fill="FFFFFF"/>
        <w:spacing w:after="390" w:line="585" w:lineRule="atLeast"/>
        <w:textAlignment w:val="baseline"/>
        <w:outlineLvl w:val="0"/>
        <w:rPr>
          <w:rFonts w:ascii="Times New Roman" w:eastAsia="Times New Roman" w:hAnsi="Times New Roman" w:cs="Times New Roman"/>
          <w:color w:val="313131"/>
          <w:kern w:val="36"/>
          <w:sz w:val="51"/>
          <w:szCs w:val="51"/>
          <w:lang w:eastAsia="ru-RU"/>
        </w:rPr>
      </w:pPr>
      <w:r w:rsidRPr="00CB6462">
        <w:rPr>
          <w:rFonts w:ascii="Times New Roman" w:eastAsia="Times New Roman" w:hAnsi="Times New Roman" w:cs="Times New Roman"/>
          <w:color w:val="313131"/>
          <w:kern w:val="36"/>
          <w:sz w:val="51"/>
          <w:szCs w:val="51"/>
          <w:lang w:eastAsia="ru-RU"/>
        </w:rPr>
        <w:t>Общие требования к местам установки приборов учета:</w:t>
      </w:r>
    </w:p>
    <w:p w14:paraId="42266151" w14:textId="77777777" w:rsidR="00DA66BD" w:rsidRPr="00CB6462" w:rsidRDefault="00DA66BD" w:rsidP="00DA66BD">
      <w:pPr>
        <w:shd w:val="clear" w:color="auto" w:fill="FFFFFF"/>
        <w:spacing w:after="0" w:line="375" w:lineRule="atLeast"/>
        <w:textAlignment w:val="baseline"/>
        <w:rPr>
          <w:rFonts w:ascii="Times New Roman" w:eastAsia="Times New Roman" w:hAnsi="Times New Roman" w:cs="Times New Roman"/>
          <w:color w:val="000000"/>
          <w:sz w:val="24"/>
          <w:szCs w:val="24"/>
          <w:lang w:eastAsia="ru-RU"/>
        </w:rPr>
      </w:pPr>
      <w:r w:rsidRPr="00CB6462">
        <w:rPr>
          <w:rFonts w:ascii="Times New Roman" w:eastAsia="Times New Roman" w:hAnsi="Times New Roman" w:cs="Times New Roman"/>
          <w:color w:val="000000"/>
          <w:sz w:val="24"/>
          <w:szCs w:val="24"/>
          <w:lang w:eastAsia="ru-RU"/>
        </w:rPr>
        <w:t>1. Приборы учета подлежат установке на границах балансовой принадлежности объектов электроэнергетики (энергопринимающих устройств) смежных субъектов розничного рынка:</w:t>
      </w:r>
    </w:p>
    <w:p w14:paraId="5570273B" w14:textId="77777777" w:rsidR="00DA66BD" w:rsidRPr="00CB6462" w:rsidRDefault="00DA66BD" w:rsidP="00DA66BD">
      <w:pPr>
        <w:shd w:val="clear" w:color="auto" w:fill="FFFFFF"/>
        <w:spacing w:before="195" w:after="195" w:line="375" w:lineRule="atLeast"/>
        <w:textAlignment w:val="baseline"/>
        <w:rPr>
          <w:rFonts w:ascii="Times New Roman" w:eastAsia="Times New Roman" w:hAnsi="Times New Roman" w:cs="Times New Roman"/>
          <w:color w:val="000000"/>
          <w:sz w:val="24"/>
          <w:szCs w:val="24"/>
          <w:lang w:eastAsia="ru-RU"/>
        </w:rPr>
      </w:pPr>
      <w:r w:rsidRPr="00CB6462">
        <w:rPr>
          <w:rFonts w:ascii="Times New Roman" w:eastAsia="Times New Roman" w:hAnsi="Times New Roman" w:cs="Times New Roman"/>
          <w:color w:val="000000"/>
          <w:sz w:val="24"/>
          <w:szCs w:val="24"/>
          <w:lang w:eastAsia="ru-RU"/>
        </w:rPr>
        <w:t>- потребителей,</w:t>
      </w:r>
    </w:p>
    <w:p w14:paraId="4A9DF539" w14:textId="77777777" w:rsidR="00DA66BD" w:rsidRPr="00CB6462" w:rsidRDefault="00DA66BD" w:rsidP="00DA66BD">
      <w:pPr>
        <w:shd w:val="clear" w:color="auto" w:fill="FFFFFF"/>
        <w:spacing w:before="195" w:after="195" w:line="375" w:lineRule="atLeast"/>
        <w:textAlignment w:val="baseline"/>
        <w:rPr>
          <w:rFonts w:ascii="Times New Roman" w:eastAsia="Times New Roman" w:hAnsi="Times New Roman" w:cs="Times New Roman"/>
          <w:color w:val="000000"/>
          <w:sz w:val="24"/>
          <w:szCs w:val="24"/>
          <w:lang w:eastAsia="ru-RU"/>
        </w:rPr>
      </w:pPr>
      <w:r w:rsidRPr="00CB6462">
        <w:rPr>
          <w:rFonts w:ascii="Times New Roman" w:eastAsia="Times New Roman" w:hAnsi="Times New Roman" w:cs="Times New Roman"/>
          <w:color w:val="000000"/>
          <w:sz w:val="24"/>
          <w:szCs w:val="24"/>
          <w:lang w:eastAsia="ru-RU"/>
        </w:rPr>
        <w:t>- производителей электрической энергии (мощности) на розничных рынках,</w:t>
      </w:r>
    </w:p>
    <w:p w14:paraId="28D5700A" w14:textId="77777777" w:rsidR="00DA66BD" w:rsidRPr="00CB6462" w:rsidRDefault="00DA66BD" w:rsidP="00DA66BD">
      <w:pPr>
        <w:shd w:val="clear" w:color="auto" w:fill="FFFFFF"/>
        <w:spacing w:before="195" w:after="195" w:line="375" w:lineRule="atLeast"/>
        <w:textAlignment w:val="baseline"/>
        <w:rPr>
          <w:rFonts w:ascii="Times New Roman" w:eastAsia="Times New Roman" w:hAnsi="Times New Roman" w:cs="Times New Roman"/>
          <w:color w:val="000000"/>
          <w:sz w:val="24"/>
          <w:szCs w:val="24"/>
          <w:lang w:eastAsia="ru-RU"/>
        </w:rPr>
      </w:pPr>
      <w:r w:rsidRPr="00CB6462">
        <w:rPr>
          <w:rFonts w:ascii="Times New Roman" w:eastAsia="Times New Roman" w:hAnsi="Times New Roman" w:cs="Times New Roman"/>
          <w:color w:val="000000"/>
          <w:sz w:val="24"/>
          <w:szCs w:val="24"/>
          <w:lang w:eastAsia="ru-RU"/>
        </w:rPr>
        <w:t>- сетевых организаций,</w:t>
      </w:r>
    </w:p>
    <w:p w14:paraId="1F37EB6E" w14:textId="77777777" w:rsidR="00DA66BD" w:rsidRPr="00CB6462" w:rsidRDefault="00DA66BD" w:rsidP="00DA66BD">
      <w:pPr>
        <w:shd w:val="clear" w:color="auto" w:fill="FFFFFF"/>
        <w:spacing w:before="195" w:after="195" w:line="375" w:lineRule="atLeast"/>
        <w:textAlignment w:val="baseline"/>
        <w:rPr>
          <w:rFonts w:ascii="Times New Roman" w:eastAsia="Times New Roman" w:hAnsi="Times New Roman" w:cs="Times New Roman"/>
          <w:color w:val="000000"/>
          <w:sz w:val="24"/>
          <w:szCs w:val="24"/>
          <w:lang w:eastAsia="ru-RU"/>
        </w:rPr>
      </w:pPr>
      <w:r w:rsidRPr="00CB6462">
        <w:rPr>
          <w:rFonts w:ascii="Times New Roman" w:eastAsia="Times New Roman" w:hAnsi="Times New Roman" w:cs="Times New Roman"/>
          <w:color w:val="000000"/>
          <w:sz w:val="24"/>
          <w:szCs w:val="24"/>
          <w:lang w:eastAsia="ru-RU"/>
        </w:rPr>
        <w:t> имеющих общую границу балансовой принадлежности.</w:t>
      </w:r>
    </w:p>
    <w:p w14:paraId="3F4F8C7D" w14:textId="77777777" w:rsidR="00DA66BD" w:rsidRPr="00CB6462" w:rsidRDefault="00DA66BD" w:rsidP="00DA66BD">
      <w:pPr>
        <w:shd w:val="clear" w:color="auto" w:fill="FFFFFF"/>
        <w:spacing w:before="195" w:after="195" w:line="375" w:lineRule="atLeast"/>
        <w:textAlignment w:val="baseline"/>
        <w:rPr>
          <w:rFonts w:ascii="Times New Roman" w:eastAsia="Times New Roman" w:hAnsi="Times New Roman" w:cs="Times New Roman"/>
          <w:color w:val="000000"/>
          <w:sz w:val="24"/>
          <w:szCs w:val="24"/>
          <w:lang w:eastAsia="ru-RU"/>
        </w:rPr>
      </w:pPr>
      <w:r w:rsidRPr="00CB6462">
        <w:rPr>
          <w:rFonts w:ascii="Times New Roman" w:eastAsia="Times New Roman" w:hAnsi="Times New Roman" w:cs="Times New Roman"/>
          <w:color w:val="000000"/>
          <w:sz w:val="24"/>
          <w:szCs w:val="24"/>
          <w:lang w:eastAsia="ru-RU"/>
        </w:rPr>
        <w:t>При отсутствии технической возможности установки прибора учета на границе балансовой принадлежности объектов электроэнергетики (энергопринимающих устройств) смежных субъектов розничного рынка прибор учета подлежит установке в месте, максимально приближенном к границе балансовой принадлежности, в котором имеется техническая возможность его установки.</w:t>
      </w:r>
    </w:p>
    <w:p w14:paraId="69CD73B8" w14:textId="77777777" w:rsidR="00DA66BD" w:rsidRPr="00CB6462" w:rsidRDefault="00DA66BD" w:rsidP="00DA66BD">
      <w:pPr>
        <w:shd w:val="clear" w:color="auto" w:fill="FFFFFF"/>
        <w:spacing w:before="195" w:after="195" w:line="375" w:lineRule="atLeast"/>
        <w:textAlignment w:val="baseline"/>
        <w:rPr>
          <w:rFonts w:ascii="Times New Roman" w:eastAsia="Times New Roman" w:hAnsi="Times New Roman" w:cs="Times New Roman"/>
          <w:color w:val="000000"/>
          <w:sz w:val="24"/>
          <w:szCs w:val="24"/>
          <w:lang w:eastAsia="ru-RU"/>
        </w:rPr>
      </w:pPr>
      <w:r w:rsidRPr="00CB6462">
        <w:rPr>
          <w:rFonts w:ascii="Times New Roman" w:eastAsia="Times New Roman" w:hAnsi="Times New Roman" w:cs="Times New Roman"/>
          <w:color w:val="000000"/>
          <w:sz w:val="24"/>
          <w:szCs w:val="24"/>
          <w:lang w:eastAsia="ru-RU"/>
        </w:rPr>
        <w:t>При этом по соглашению между смежными субъектами розничного рынка прибор учета, подлежащий использованию для определения объемов потребления (производства, передачи) электрической энергии одного субъекта, может быть установлен в границах объектов электроэнергетики (энергопринимающих устройств) другого смежного субъекта.</w:t>
      </w:r>
    </w:p>
    <w:p w14:paraId="09DD51A8" w14:textId="06E6A955" w:rsidR="00DA66BD" w:rsidRPr="00CB6462" w:rsidRDefault="00DA66BD" w:rsidP="00DA66BD">
      <w:pPr>
        <w:shd w:val="clear" w:color="auto" w:fill="FFFFFF"/>
        <w:spacing w:before="195" w:after="195" w:line="375" w:lineRule="atLeast"/>
        <w:textAlignment w:val="baseline"/>
        <w:rPr>
          <w:rFonts w:ascii="Times New Roman" w:eastAsia="Times New Roman" w:hAnsi="Times New Roman" w:cs="Times New Roman"/>
          <w:color w:val="000000"/>
          <w:sz w:val="24"/>
          <w:szCs w:val="24"/>
          <w:lang w:eastAsia="ru-RU"/>
        </w:rPr>
      </w:pPr>
      <w:r w:rsidRPr="00CB6462">
        <w:rPr>
          <w:rFonts w:ascii="Times New Roman" w:eastAsia="Times New Roman" w:hAnsi="Times New Roman" w:cs="Times New Roman"/>
          <w:color w:val="000000"/>
          <w:sz w:val="24"/>
          <w:szCs w:val="24"/>
          <w:lang w:eastAsia="ru-RU"/>
        </w:rPr>
        <w:t xml:space="preserve">В случае если прибор учета, в том числе коллективный (общедомовой) прибор учета в многоквартирном доме, </w:t>
      </w:r>
      <w:r w:rsidR="001948DA" w:rsidRPr="00CB6462">
        <w:rPr>
          <w:rFonts w:ascii="Times New Roman" w:eastAsia="Times New Roman" w:hAnsi="Times New Roman" w:cs="Times New Roman"/>
          <w:color w:val="000000"/>
          <w:sz w:val="24"/>
          <w:szCs w:val="24"/>
          <w:lang w:eastAsia="ru-RU"/>
        </w:rPr>
        <w:t>не</w:t>
      </w:r>
      <w:r w:rsidR="001948DA" w:rsidRPr="00CB6462">
        <w:rPr>
          <w:rFonts w:ascii="Times New Roman" w:eastAsia="Times New Roman" w:hAnsi="Times New Roman" w:cs="Times New Roman"/>
          <w:color w:val="000000"/>
          <w:sz w:val="24"/>
          <w:szCs w:val="24"/>
          <w:lang w:eastAsia="ru-RU"/>
        </w:rPr>
        <w:t xml:space="preserve"> </w:t>
      </w:r>
      <w:r w:rsidRPr="00CB6462">
        <w:rPr>
          <w:rFonts w:ascii="Times New Roman" w:eastAsia="Times New Roman" w:hAnsi="Times New Roman" w:cs="Times New Roman"/>
          <w:color w:val="000000"/>
          <w:sz w:val="24"/>
          <w:szCs w:val="24"/>
          <w:lang w:eastAsia="ru-RU"/>
        </w:rPr>
        <w:t>расположен на границе балансовой принадлежности объектов электроэнергетики (энергопринимающих устройств) смежных субъектов розничного рынка, то объем потребления (производства, передачи) электрической энергии, определенный на основании показаний такого прибора учета, в целях осуществления расчетов по договору подлежит корректировке на величину потерь электрической энергии, возникающих на участке сети от границы балансовой принадлежности объектов электроэнергетики (энергопринимающих устройств) до места установки прибора учета. При этом расчет величины потерь осуществляется сетевой организацией в соответствии с актом уполномоченного федерального органа, регламентирующим расчет нормативов технологических потерь электрической энергии при ее передаче по электрическим сетям.</w:t>
      </w:r>
    </w:p>
    <w:p w14:paraId="0A925E85" w14:textId="1D7C31F5" w:rsidR="00DA66BD" w:rsidRPr="00CB6462" w:rsidRDefault="00DA66BD" w:rsidP="00DA66BD">
      <w:pPr>
        <w:shd w:val="clear" w:color="auto" w:fill="FFFFFF"/>
        <w:spacing w:before="195" w:after="195" w:line="375" w:lineRule="atLeast"/>
        <w:textAlignment w:val="baseline"/>
        <w:rPr>
          <w:rFonts w:ascii="Times New Roman" w:eastAsia="Times New Roman" w:hAnsi="Times New Roman" w:cs="Times New Roman"/>
          <w:color w:val="000000"/>
          <w:sz w:val="24"/>
          <w:szCs w:val="24"/>
          <w:lang w:eastAsia="ru-RU"/>
        </w:rPr>
      </w:pPr>
      <w:r w:rsidRPr="00CB6462">
        <w:rPr>
          <w:rFonts w:ascii="Times New Roman" w:eastAsia="Times New Roman" w:hAnsi="Times New Roman" w:cs="Times New Roman"/>
          <w:color w:val="000000"/>
          <w:sz w:val="24"/>
          <w:szCs w:val="24"/>
          <w:lang w:eastAsia="ru-RU"/>
        </w:rPr>
        <w:lastRenderedPageBreak/>
        <w:t>(Основание п. 144</w:t>
      </w:r>
      <w:r w:rsidR="00CC5D4F" w:rsidRPr="00CB6462">
        <w:rPr>
          <w:rFonts w:ascii="Times New Roman" w:eastAsia="Times New Roman" w:hAnsi="Times New Roman" w:cs="Times New Roman"/>
          <w:color w:val="000000"/>
          <w:sz w:val="24"/>
          <w:szCs w:val="24"/>
          <w:lang w:eastAsia="ru-RU"/>
        </w:rPr>
        <w:t>, п. 148</w:t>
      </w:r>
      <w:r w:rsidRPr="00CB6462">
        <w:rPr>
          <w:rFonts w:ascii="Times New Roman" w:eastAsia="Times New Roman" w:hAnsi="Times New Roman" w:cs="Times New Roman"/>
          <w:color w:val="000000"/>
          <w:sz w:val="24"/>
          <w:szCs w:val="24"/>
          <w:lang w:eastAsia="ru-RU"/>
        </w:rPr>
        <w:t xml:space="preserve"> ПП РФ №442 от 04.05.2012</w:t>
      </w:r>
      <w:r w:rsidR="00CC5D4F" w:rsidRPr="00CB6462">
        <w:rPr>
          <w:rFonts w:ascii="Times New Roman" w:eastAsia="Times New Roman" w:hAnsi="Times New Roman" w:cs="Times New Roman"/>
          <w:color w:val="000000"/>
          <w:sz w:val="24"/>
          <w:szCs w:val="24"/>
          <w:lang w:eastAsia="ru-RU"/>
        </w:rPr>
        <w:t>, редакция №63 от 15.07.2022г.).</w:t>
      </w:r>
    </w:p>
    <w:p w14:paraId="330C7292" w14:textId="6AD297BE" w:rsidR="003A73F5" w:rsidRPr="00CB6462" w:rsidRDefault="00DA66BD" w:rsidP="003A73F5">
      <w:pPr>
        <w:shd w:val="clear" w:color="auto" w:fill="FFFFFF"/>
        <w:spacing w:before="195" w:after="195" w:line="375" w:lineRule="atLeast"/>
        <w:textAlignment w:val="baseline"/>
        <w:rPr>
          <w:rFonts w:ascii="Times New Roman" w:eastAsia="Times New Roman" w:hAnsi="Times New Roman" w:cs="Times New Roman"/>
          <w:color w:val="000000"/>
          <w:sz w:val="24"/>
          <w:szCs w:val="24"/>
          <w:lang w:eastAsia="ru-RU"/>
        </w:rPr>
      </w:pPr>
      <w:r w:rsidRPr="00CB6462">
        <w:rPr>
          <w:rFonts w:ascii="Times New Roman" w:eastAsia="Times New Roman" w:hAnsi="Times New Roman" w:cs="Times New Roman"/>
          <w:color w:val="000000"/>
          <w:sz w:val="24"/>
          <w:szCs w:val="24"/>
          <w:lang w:eastAsia="ru-RU"/>
        </w:rPr>
        <w:t>2. Места установки, схемы подключения и метрологические характеристики приборов учета должны соответствовать требованиям, установленным законодательством Российской Федерации об обеспечении единства измерений и о техническом регулировании.</w:t>
      </w:r>
      <w:r w:rsidR="003A73F5" w:rsidRPr="00CB6462">
        <w:rPr>
          <w:rFonts w:ascii="Times New Roman" w:eastAsia="Times New Roman" w:hAnsi="Times New Roman" w:cs="Times New Roman"/>
          <w:color w:val="000000"/>
          <w:sz w:val="24"/>
          <w:szCs w:val="24"/>
          <w:lang w:eastAsia="ru-RU"/>
        </w:rPr>
        <w:t xml:space="preserve"> В случае если у субъекта розничного рынка в единых границах балансовой принадлежности находятся </w:t>
      </w:r>
      <w:proofErr w:type="spellStart"/>
      <w:r w:rsidR="003A73F5" w:rsidRPr="00CB6462">
        <w:rPr>
          <w:rFonts w:ascii="Times New Roman" w:eastAsia="Times New Roman" w:hAnsi="Times New Roman" w:cs="Times New Roman"/>
          <w:color w:val="000000"/>
          <w:sz w:val="24"/>
          <w:szCs w:val="24"/>
          <w:lang w:eastAsia="ru-RU"/>
        </w:rPr>
        <w:t>энергопринимающие</w:t>
      </w:r>
      <w:proofErr w:type="spellEnd"/>
      <w:r w:rsidR="003A73F5" w:rsidRPr="00CB6462">
        <w:rPr>
          <w:rFonts w:ascii="Times New Roman" w:eastAsia="Times New Roman" w:hAnsi="Times New Roman" w:cs="Times New Roman"/>
          <w:color w:val="000000"/>
          <w:sz w:val="24"/>
          <w:szCs w:val="24"/>
          <w:lang w:eastAsia="ru-RU"/>
        </w:rPr>
        <w:t xml:space="preserve"> устройства и объекты </w:t>
      </w:r>
      <w:proofErr w:type="spellStart"/>
      <w:r w:rsidR="003A73F5" w:rsidRPr="00CB6462">
        <w:rPr>
          <w:rFonts w:ascii="Times New Roman" w:eastAsia="Times New Roman" w:hAnsi="Times New Roman" w:cs="Times New Roman"/>
          <w:color w:val="000000"/>
          <w:sz w:val="24"/>
          <w:szCs w:val="24"/>
          <w:lang w:eastAsia="ru-RU"/>
        </w:rPr>
        <w:t>микрогенерации</w:t>
      </w:r>
      <w:proofErr w:type="spellEnd"/>
      <w:r w:rsidR="003A73F5" w:rsidRPr="00CB6462">
        <w:rPr>
          <w:rFonts w:ascii="Times New Roman" w:eastAsia="Times New Roman" w:hAnsi="Times New Roman" w:cs="Times New Roman"/>
          <w:color w:val="000000"/>
          <w:sz w:val="24"/>
          <w:szCs w:val="24"/>
          <w:lang w:eastAsia="ru-RU"/>
        </w:rPr>
        <w:t xml:space="preserve"> или только объекты </w:t>
      </w:r>
      <w:proofErr w:type="spellStart"/>
      <w:r w:rsidR="003A73F5" w:rsidRPr="00CB6462">
        <w:rPr>
          <w:rFonts w:ascii="Times New Roman" w:eastAsia="Times New Roman" w:hAnsi="Times New Roman" w:cs="Times New Roman"/>
          <w:color w:val="000000"/>
          <w:sz w:val="24"/>
          <w:szCs w:val="24"/>
          <w:lang w:eastAsia="ru-RU"/>
        </w:rPr>
        <w:t>микрогенерации</w:t>
      </w:r>
      <w:proofErr w:type="spellEnd"/>
      <w:r w:rsidR="003A73F5" w:rsidRPr="00CB6462">
        <w:rPr>
          <w:rFonts w:ascii="Times New Roman" w:eastAsia="Times New Roman" w:hAnsi="Times New Roman" w:cs="Times New Roman"/>
          <w:color w:val="000000"/>
          <w:sz w:val="24"/>
          <w:szCs w:val="24"/>
          <w:lang w:eastAsia="ru-RU"/>
        </w:rPr>
        <w:t>, приборы учета, устанавливаемые на границе балансовой принадлежности, должны обеспечивать почасовые измерения активной и реактивной энергии в сетях переменного тока в двух направлениях.</w:t>
      </w:r>
    </w:p>
    <w:p w14:paraId="4C5A4720" w14:textId="2750852C" w:rsidR="00DA66BD" w:rsidRPr="00CB6462" w:rsidRDefault="00DA66BD" w:rsidP="00DA66BD">
      <w:pPr>
        <w:shd w:val="clear" w:color="auto" w:fill="FFFFFF"/>
        <w:spacing w:before="195" w:after="195" w:line="375" w:lineRule="atLeast"/>
        <w:textAlignment w:val="baseline"/>
        <w:rPr>
          <w:rFonts w:ascii="Times New Roman" w:eastAsia="Times New Roman" w:hAnsi="Times New Roman" w:cs="Times New Roman"/>
          <w:color w:val="000000"/>
          <w:sz w:val="24"/>
          <w:szCs w:val="24"/>
          <w:lang w:eastAsia="ru-RU"/>
        </w:rPr>
      </w:pPr>
      <w:r w:rsidRPr="00CB6462">
        <w:rPr>
          <w:rFonts w:ascii="Times New Roman" w:eastAsia="Times New Roman" w:hAnsi="Times New Roman" w:cs="Times New Roman"/>
          <w:color w:val="000000"/>
          <w:sz w:val="24"/>
          <w:szCs w:val="24"/>
          <w:lang w:eastAsia="ru-RU"/>
        </w:rPr>
        <w:t>(Основание п. 147 ПП РФ №442 от 04.05.2012</w:t>
      </w:r>
      <w:r w:rsidR="00DF587C" w:rsidRPr="00CB6462">
        <w:rPr>
          <w:rFonts w:ascii="Times New Roman" w:eastAsia="Times New Roman" w:hAnsi="Times New Roman" w:cs="Times New Roman"/>
          <w:color w:val="000000"/>
          <w:sz w:val="24"/>
          <w:szCs w:val="24"/>
          <w:lang w:eastAsia="ru-RU"/>
        </w:rPr>
        <w:t xml:space="preserve">, </w:t>
      </w:r>
      <w:r w:rsidR="00DF587C" w:rsidRPr="00CB6462">
        <w:rPr>
          <w:rFonts w:ascii="Times New Roman" w:eastAsia="Times New Roman" w:hAnsi="Times New Roman" w:cs="Times New Roman"/>
          <w:color w:val="000000"/>
          <w:sz w:val="24"/>
          <w:szCs w:val="24"/>
          <w:lang w:eastAsia="ru-RU"/>
        </w:rPr>
        <w:t>редакция №63 от 15.07.2022г.</w:t>
      </w:r>
      <w:r w:rsidR="00DF587C" w:rsidRPr="00CB6462">
        <w:rPr>
          <w:rFonts w:ascii="Times New Roman" w:hAnsi="Times New Roman" w:cs="Times New Roman"/>
          <w:sz w:val="24"/>
          <w:szCs w:val="24"/>
        </w:rPr>
        <w:t>)</w:t>
      </w:r>
      <w:r w:rsidRPr="00CB6462">
        <w:rPr>
          <w:rFonts w:ascii="Times New Roman" w:eastAsia="Times New Roman" w:hAnsi="Times New Roman" w:cs="Times New Roman"/>
          <w:color w:val="000000"/>
          <w:sz w:val="24"/>
          <w:szCs w:val="24"/>
          <w:lang w:eastAsia="ru-RU"/>
        </w:rPr>
        <w:t>.</w:t>
      </w:r>
    </w:p>
    <w:p w14:paraId="3E676D2B" w14:textId="77777777" w:rsidR="00DA66BD" w:rsidRPr="00CB6462" w:rsidRDefault="00DA66BD" w:rsidP="00DA66BD">
      <w:pPr>
        <w:shd w:val="clear" w:color="auto" w:fill="FFFFFF"/>
        <w:spacing w:before="195" w:after="195" w:line="375" w:lineRule="atLeast"/>
        <w:textAlignment w:val="baseline"/>
        <w:rPr>
          <w:rFonts w:ascii="Times New Roman" w:eastAsia="Times New Roman" w:hAnsi="Times New Roman" w:cs="Times New Roman"/>
          <w:color w:val="000000"/>
          <w:sz w:val="24"/>
          <w:szCs w:val="24"/>
          <w:lang w:eastAsia="ru-RU"/>
        </w:rPr>
      </w:pPr>
      <w:r w:rsidRPr="00CB6462">
        <w:rPr>
          <w:rFonts w:ascii="Times New Roman" w:eastAsia="Times New Roman" w:hAnsi="Times New Roman" w:cs="Times New Roman"/>
          <w:color w:val="000000"/>
          <w:sz w:val="24"/>
          <w:szCs w:val="24"/>
          <w:lang w:eastAsia="ru-RU"/>
        </w:rPr>
        <w:t>3. Приборы учета должны устанавливаться в шкафах, камерах комплектных распределительных устройствах (КРУ, КРУН), на панелях, щитах, в нишах, на стенах, имеющих жесткую конструкцию.</w:t>
      </w:r>
    </w:p>
    <w:p w14:paraId="20D3DC98" w14:textId="77777777" w:rsidR="00DA66BD" w:rsidRPr="00CB6462" w:rsidRDefault="00DA66BD" w:rsidP="00DA66BD">
      <w:pPr>
        <w:shd w:val="clear" w:color="auto" w:fill="FFFFFF"/>
        <w:spacing w:before="195" w:after="195" w:line="375" w:lineRule="atLeast"/>
        <w:textAlignment w:val="baseline"/>
        <w:rPr>
          <w:rFonts w:ascii="Times New Roman" w:eastAsia="Times New Roman" w:hAnsi="Times New Roman" w:cs="Times New Roman"/>
          <w:color w:val="000000"/>
          <w:sz w:val="24"/>
          <w:szCs w:val="24"/>
          <w:lang w:eastAsia="ru-RU"/>
        </w:rPr>
      </w:pPr>
      <w:r w:rsidRPr="00CB6462">
        <w:rPr>
          <w:rFonts w:ascii="Times New Roman" w:eastAsia="Times New Roman" w:hAnsi="Times New Roman" w:cs="Times New Roman"/>
          <w:color w:val="000000"/>
          <w:sz w:val="24"/>
          <w:szCs w:val="24"/>
          <w:lang w:eastAsia="ru-RU"/>
        </w:rPr>
        <w:t>Допускается крепление приборов учета на деревянных, пластмассовых или металлических щитках.</w:t>
      </w:r>
    </w:p>
    <w:p w14:paraId="7AC2821D" w14:textId="77777777" w:rsidR="00DA66BD" w:rsidRPr="00CB6462" w:rsidRDefault="00DA66BD" w:rsidP="00DA66BD">
      <w:pPr>
        <w:shd w:val="clear" w:color="auto" w:fill="FFFFFF"/>
        <w:spacing w:before="195" w:after="195" w:line="375" w:lineRule="atLeast"/>
        <w:textAlignment w:val="baseline"/>
        <w:rPr>
          <w:rFonts w:ascii="Times New Roman" w:eastAsia="Times New Roman" w:hAnsi="Times New Roman" w:cs="Times New Roman"/>
          <w:color w:val="000000"/>
          <w:sz w:val="24"/>
          <w:szCs w:val="24"/>
          <w:lang w:eastAsia="ru-RU"/>
        </w:rPr>
      </w:pPr>
      <w:r w:rsidRPr="00CB6462">
        <w:rPr>
          <w:rFonts w:ascii="Times New Roman" w:eastAsia="Times New Roman" w:hAnsi="Times New Roman" w:cs="Times New Roman"/>
          <w:color w:val="000000"/>
          <w:sz w:val="24"/>
          <w:szCs w:val="24"/>
          <w:lang w:eastAsia="ru-RU"/>
        </w:rPr>
        <w:t>Высота от пола до коробки зажимов приборов учета должна быть в пределах 0,8-1,7 м. Допускается высота менее 0,8 м, но не менее 0,4 м.</w:t>
      </w:r>
    </w:p>
    <w:p w14:paraId="13069D01" w14:textId="77777777" w:rsidR="00DA66BD" w:rsidRPr="00CB6462" w:rsidRDefault="00DA66BD" w:rsidP="00DA66BD">
      <w:pPr>
        <w:shd w:val="clear" w:color="auto" w:fill="FFFFFF"/>
        <w:spacing w:before="195" w:after="195" w:line="375" w:lineRule="atLeast"/>
        <w:textAlignment w:val="baseline"/>
        <w:rPr>
          <w:rFonts w:ascii="Times New Roman" w:eastAsia="Times New Roman" w:hAnsi="Times New Roman" w:cs="Times New Roman"/>
          <w:color w:val="000000"/>
          <w:sz w:val="24"/>
          <w:szCs w:val="24"/>
          <w:lang w:eastAsia="ru-RU"/>
        </w:rPr>
      </w:pPr>
      <w:r w:rsidRPr="00CB6462">
        <w:rPr>
          <w:rFonts w:ascii="Times New Roman" w:eastAsia="Times New Roman" w:hAnsi="Times New Roman" w:cs="Times New Roman"/>
          <w:color w:val="000000"/>
          <w:sz w:val="24"/>
          <w:szCs w:val="24"/>
          <w:lang w:eastAsia="ru-RU"/>
        </w:rPr>
        <w:t>(Основание ПУЭ п.1.5.29).</w:t>
      </w:r>
    </w:p>
    <w:p w14:paraId="7FC1FC9C" w14:textId="77777777" w:rsidR="00DA66BD" w:rsidRPr="00CB6462" w:rsidRDefault="00DA66BD" w:rsidP="00DA66BD">
      <w:pPr>
        <w:shd w:val="clear" w:color="auto" w:fill="FFFFFF"/>
        <w:spacing w:before="195" w:after="195" w:line="375" w:lineRule="atLeast"/>
        <w:textAlignment w:val="baseline"/>
        <w:rPr>
          <w:rFonts w:ascii="Times New Roman" w:eastAsia="Times New Roman" w:hAnsi="Times New Roman" w:cs="Times New Roman"/>
          <w:color w:val="000000"/>
          <w:sz w:val="24"/>
          <w:szCs w:val="24"/>
          <w:lang w:eastAsia="ru-RU"/>
        </w:rPr>
      </w:pPr>
      <w:r w:rsidRPr="00CB6462">
        <w:rPr>
          <w:rFonts w:ascii="Times New Roman" w:eastAsia="Times New Roman" w:hAnsi="Times New Roman" w:cs="Times New Roman"/>
          <w:color w:val="000000"/>
          <w:sz w:val="24"/>
          <w:szCs w:val="24"/>
          <w:lang w:eastAsia="ru-RU"/>
        </w:rPr>
        <w:t>4. Для безопасной установки и замены приборов учета в сетях напряжением до 380 В должна предусматриваться возможность отключения прибора учета установленными до него на расстоянии не более 10 м коммутационным аппаратом или предохранителями. Снятие напряжения должно предусматриваться со всех фаз, присоединяемых к прибору учета. Трансформаторы тока, используемые для присоединения приборов учета на напряжении до 380 В, должны устанавливаться после коммутационных аппаратов по направлению потока мощности.</w:t>
      </w:r>
    </w:p>
    <w:p w14:paraId="5004F74A" w14:textId="77777777" w:rsidR="00DA66BD" w:rsidRPr="00CB6462" w:rsidRDefault="00DA66BD" w:rsidP="00DA66BD">
      <w:pPr>
        <w:shd w:val="clear" w:color="auto" w:fill="FFFFFF"/>
        <w:spacing w:before="195" w:after="195" w:line="375" w:lineRule="atLeast"/>
        <w:textAlignment w:val="baseline"/>
        <w:rPr>
          <w:rFonts w:ascii="Times New Roman" w:eastAsia="Times New Roman" w:hAnsi="Times New Roman" w:cs="Times New Roman"/>
          <w:color w:val="000000"/>
          <w:sz w:val="24"/>
          <w:szCs w:val="24"/>
          <w:lang w:eastAsia="ru-RU"/>
        </w:rPr>
      </w:pPr>
      <w:r w:rsidRPr="00CB6462">
        <w:rPr>
          <w:rFonts w:ascii="Times New Roman" w:eastAsia="Times New Roman" w:hAnsi="Times New Roman" w:cs="Times New Roman"/>
          <w:color w:val="000000"/>
          <w:sz w:val="24"/>
          <w:szCs w:val="24"/>
          <w:lang w:eastAsia="ru-RU"/>
        </w:rPr>
        <w:t>(Основание ПУЭ п.1.5.36).</w:t>
      </w:r>
    </w:p>
    <w:p w14:paraId="698FAD38" w14:textId="77777777" w:rsidR="00DA66BD" w:rsidRPr="00CB6462" w:rsidRDefault="00DA66BD" w:rsidP="00DA66BD">
      <w:pPr>
        <w:shd w:val="clear" w:color="auto" w:fill="FFFFFF"/>
        <w:spacing w:before="195" w:after="195" w:line="375" w:lineRule="atLeast"/>
        <w:textAlignment w:val="baseline"/>
        <w:rPr>
          <w:rFonts w:ascii="Times New Roman" w:eastAsia="Times New Roman" w:hAnsi="Times New Roman" w:cs="Times New Roman"/>
          <w:color w:val="000000"/>
          <w:sz w:val="24"/>
          <w:szCs w:val="24"/>
          <w:lang w:eastAsia="ru-RU"/>
        </w:rPr>
      </w:pPr>
      <w:r w:rsidRPr="00CB6462">
        <w:rPr>
          <w:rFonts w:ascii="Times New Roman" w:eastAsia="Times New Roman" w:hAnsi="Times New Roman" w:cs="Times New Roman"/>
          <w:color w:val="000000"/>
          <w:sz w:val="24"/>
          <w:szCs w:val="24"/>
          <w:lang w:eastAsia="ru-RU"/>
        </w:rPr>
        <w:t>5. Для безопасной замены прибора учета, непосредственно включаемого в сеть, перед каждым прибором учета должен предусматриваться коммутационный аппарат для снятия напряжения со всех фаз, присоединенных к нему.</w:t>
      </w:r>
    </w:p>
    <w:p w14:paraId="47F5274B" w14:textId="77777777" w:rsidR="00DA66BD" w:rsidRPr="00CB6462" w:rsidRDefault="00DA66BD" w:rsidP="00DA66BD">
      <w:pPr>
        <w:shd w:val="clear" w:color="auto" w:fill="FFFFFF"/>
        <w:spacing w:before="195" w:after="195" w:line="375" w:lineRule="atLeast"/>
        <w:textAlignment w:val="baseline"/>
        <w:rPr>
          <w:rFonts w:ascii="Times New Roman" w:eastAsia="Times New Roman" w:hAnsi="Times New Roman" w:cs="Times New Roman"/>
          <w:color w:val="000000"/>
          <w:sz w:val="24"/>
          <w:szCs w:val="24"/>
          <w:lang w:eastAsia="ru-RU"/>
        </w:rPr>
      </w:pPr>
      <w:r w:rsidRPr="00CB6462">
        <w:rPr>
          <w:rFonts w:ascii="Times New Roman" w:eastAsia="Times New Roman" w:hAnsi="Times New Roman" w:cs="Times New Roman"/>
          <w:color w:val="000000"/>
          <w:sz w:val="24"/>
          <w:szCs w:val="24"/>
          <w:lang w:eastAsia="ru-RU"/>
        </w:rPr>
        <w:t>Отключающие аппараты для снятия напряжения с расчетных приборов учета, расположенных в квартирах, должны размещаться за пределами квартиры</w:t>
      </w:r>
    </w:p>
    <w:p w14:paraId="22F13BF1" w14:textId="77777777" w:rsidR="00DA66BD" w:rsidRPr="00CB6462" w:rsidRDefault="00DA66BD" w:rsidP="00DA66BD">
      <w:pPr>
        <w:shd w:val="clear" w:color="auto" w:fill="FFFFFF"/>
        <w:spacing w:before="195" w:after="195" w:line="375" w:lineRule="atLeast"/>
        <w:textAlignment w:val="baseline"/>
        <w:rPr>
          <w:rFonts w:ascii="Times New Roman" w:eastAsia="Times New Roman" w:hAnsi="Times New Roman" w:cs="Times New Roman"/>
          <w:color w:val="000000"/>
          <w:sz w:val="24"/>
          <w:szCs w:val="24"/>
          <w:lang w:eastAsia="ru-RU"/>
        </w:rPr>
      </w:pPr>
      <w:r w:rsidRPr="00CB6462">
        <w:rPr>
          <w:rFonts w:ascii="Times New Roman" w:eastAsia="Times New Roman" w:hAnsi="Times New Roman" w:cs="Times New Roman"/>
          <w:color w:val="000000"/>
          <w:sz w:val="24"/>
          <w:szCs w:val="24"/>
          <w:lang w:eastAsia="ru-RU"/>
        </w:rPr>
        <w:t>(Основание ПУЭ п.7.1.64).</w:t>
      </w:r>
    </w:p>
    <w:p w14:paraId="1B956245" w14:textId="77777777" w:rsidR="00DA66BD" w:rsidRPr="00CB6462" w:rsidRDefault="00DA66BD" w:rsidP="00DA66BD">
      <w:pPr>
        <w:shd w:val="clear" w:color="auto" w:fill="FFFFFF"/>
        <w:spacing w:before="195" w:after="195" w:line="375" w:lineRule="atLeast"/>
        <w:textAlignment w:val="baseline"/>
        <w:rPr>
          <w:rFonts w:ascii="Times New Roman" w:eastAsia="Times New Roman" w:hAnsi="Times New Roman" w:cs="Times New Roman"/>
          <w:color w:val="000000"/>
          <w:sz w:val="24"/>
          <w:szCs w:val="24"/>
          <w:lang w:eastAsia="ru-RU"/>
        </w:rPr>
      </w:pPr>
      <w:r w:rsidRPr="00CB6462">
        <w:rPr>
          <w:rFonts w:ascii="Times New Roman" w:eastAsia="Times New Roman" w:hAnsi="Times New Roman" w:cs="Times New Roman"/>
          <w:color w:val="000000"/>
          <w:sz w:val="24"/>
          <w:szCs w:val="24"/>
          <w:lang w:eastAsia="ru-RU"/>
        </w:rPr>
        <w:t xml:space="preserve">6. После прибора учета, включенного непосредственно в сеть, должен быть установлен аппарат защиты. Если после прибора учета отходит несколько линий, </w:t>
      </w:r>
      <w:r w:rsidRPr="00CB6462">
        <w:rPr>
          <w:rFonts w:ascii="Times New Roman" w:eastAsia="Times New Roman" w:hAnsi="Times New Roman" w:cs="Times New Roman"/>
          <w:color w:val="000000"/>
          <w:sz w:val="24"/>
          <w:szCs w:val="24"/>
          <w:lang w:eastAsia="ru-RU"/>
        </w:rPr>
        <w:lastRenderedPageBreak/>
        <w:t>снабженных аппаратами защиты, установка общего аппарата защиты не требуется.</w:t>
      </w:r>
    </w:p>
    <w:p w14:paraId="4CE7C31D" w14:textId="77777777" w:rsidR="00DA66BD" w:rsidRPr="00CB6462" w:rsidRDefault="00DA66BD" w:rsidP="00DA66BD">
      <w:pPr>
        <w:shd w:val="clear" w:color="auto" w:fill="FFFFFF"/>
        <w:spacing w:before="195" w:after="195" w:line="375" w:lineRule="atLeast"/>
        <w:textAlignment w:val="baseline"/>
        <w:rPr>
          <w:rFonts w:ascii="Times New Roman" w:eastAsia="Times New Roman" w:hAnsi="Times New Roman" w:cs="Times New Roman"/>
          <w:color w:val="000000"/>
          <w:sz w:val="24"/>
          <w:szCs w:val="24"/>
          <w:lang w:eastAsia="ru-RU"/>
        </w:rPr>
      </w:pPr>
      <w:r w:rsidRPr="00CB6462">
        <w:rPr>
          <w:rFonts w:ascii="Times New Roman" w:eastAsia="Times New Roman" w:hAnsi="Times New Roman" w:cs="Times New Roman"/>
          <w:color w:val="000000"/>
          <w:sz w:val="24"/>
          <w:szCs w:val="24"/>
          <w:lang w:eastAsia="ru-RU"/>
        </w:rPr>
        <w:t>(Основание ПУЭ п.7.1.65).</w:t>
      </w:r>
    </w:p>
    <w:p w14:paraId="72350566" w14:textId="77777777" w:rsidR="00DA66BD" w:rsidRPr="00CB6462" w:rsidRDefault="00DA66BD" w:rsidP="00DA66BD">
      <w:pPr>
        <w:shd w:val="clear" w:color="auto" w:fill="FFFFFF"/>
        <w:spacing w:before="195" w:after="195" w:line="375" w:lineRule="atLeast"/>
        <w:textAlignment w:val="baseline"/>
        <w:rPr>
          <w:rFonts w:ascii="Times New Roman" w:eastAsia="Times New Roman" w:hAnsi="Times New Roman" w:cs="Times New Roman"/>
          <w:color w:val="000000"/>
          <w:sz w:val="24"/>
          <w:szCs w:val="24"/>
          <w:lang w:eastAsia="ru-RU"/>
        </w:rPr>
      </w:pPr>
      <w:r w:rsidRPr="00CB6462">
        <w:rPr>
          <w:rFonts w:ascii="Times New Roman" w:eastAsia="Times New Roman" w:hAnsi="Times New Roman" w:cs="Times New Roman"/>
          <w:color w:val="000000"/>
          <w:sz w:val="24"/>
          <w:szCs w:val="24"/>
          <w:lang w:eastAsia="ru-RU"/>
        </w:rPr>
        <w:t>7. Рекомендуется оснащение жилых зданий системами дистанционного съема показаний приборов учета.</w:t>
      </w:r>
    </w:p>
    <w:p w14:paraId="771D2066" w14:textId="77777777" w:rsidR="00DA66BD" w:rsidRPr="00CB6462" w:rsidRDefault="00DA66BD" w:rsidP="00DA66BD">
      <w:pPr>
        <w:shd w:val="clear" w:color="auto" w:fill="FFFFFF"/>
        <w:spacing w:before="195" w:after="195" w:line="375" w:lineRule="atLeast"/>
        <w:textAlignment w:val="baseline"/>
        <w:rPr>
          <w:rFonts w:ascii="Times New Roman" w:eastAsia="Times New Roman" w:hAnsi="Times New Roman" w:cs="Times New Roman"/>
          <w:color w:val="000000"/>
          <w:sz w:val="24"/>
          <w:szCs w:val="24"/>
          <w:lang w:eastAsia="ru-RU"/>
        </w:rPr>
      </w:pPr>
      <w:r w:rsidRPr="00CB6462">
        <w:rPr>
          <w:rFonts w:ascii="Times New Roman" w:eastAsia="Times New Roman" w:hAnsi="Times New Roman" w:cs="Times New Roman"/>
          <w:color w:val="000000"/>
          <w:sz w:val="24"/>
          <w:szCs w:val="24"/>
          <w:lang w:eastAsia="ru-RU"/>
        </w:rPr>
        <w:t>(Основание ПУЭ п.7.1.66).</w:t>
      </w:r>
    </w:p>
    <w:p w14:paraId="4B42584F" w14:textId="77777777" w:rsidR="00C35F7B" w:rsidRPr="00CB6462" w:rsidRDefault="00DA66BD" w:rsidP="00DA66BD">
      <w:pPr>
        <w:shd w:val="clear" w:color="auto" w:fill="FFFFFF"/>
        <w:spacing w:before="195" w:after="195" w:line="375" w:lineRule="atLeast"/>
        <w:textAlignment w:val="baseline"/>
        <w:rPr>
          <w:rFonts w:ascii="Times New Roman" w:eastAsia="Times New Roman" w:hAnsi="Times New Roman" w:cs="Times New Roman"/>
          <w:color w:val="000000"/>
          <w:sz w:val="24"/>
          <w:szCs w:val="24"/>
          <w:lang w:eastAsia="ru-RU"/>
        </w:rPr>
      </w:pPr>
      <w:r w:rsidRPr="00CB6462">
        <w:rPr>
          <w:rFonts w:ascii="Times New Roman" w:eastAsia="Times New Roman" w:hAnsi="Times New Roman" w:cs="Times New Roman"/>
          <w:color w:val="000000"/>
          <w:sz w:val="24"/>
          <w:szCs w:val="24"/>
          <w:lang w:eastAsia="ru-RU"/>
        </w:rPr>
        <w:t xml:space="preserve">8. Расчетные приборы учета в общественных зданиях, в которых размещено несколько потребителей электроэнергии, должны предусматриваться для каждого потребителя, обособленного в административно-хозяйственном отношении (ателье, магазины, мастерские, склады, жилищно-эксплуатационные конторы и т.п.). </w:t>
      </w:r>
    </w:p>
    <w:p w14:paraId="3370DD1F" w14:textId="4B429C8D" w:rsidR="00DA66BD" w:rsidRPr="00CB6462" w:rsidRDefault="00DA66BD" w:rsidP="00DA66BD">
      <w:pPr>
        <w:shd w:val="clear" w:color="auto" w:fill="FFFFFF"/>
        <w:spacing w:before="195" w:after="195" w:line="375" w:lineRule="atLeast"/>
        <w:textAlignment w:val="baseline"/>
        <w:rPr>
          <w:rFonts w:ascii="Times New Roman" w:eastAsia="Times New Roman" w:hAnsi="Times New Roman" w:cs="Times New Roman"/>
          <w:color w:val="000000"/>
          <w:sz w:val="24"/>
          <w:szCs w:val="24"/>
          <w:lang w:eastAsia="ru-RU"/>
        </w:rPr>
      </w:pPr>
      <w:r w:rsidRPr="00CB6462">
        <w:rPr>
          <w:rFonts w:ascii="Times New Roman" w:eastAsia="Times New Roman" w:hAnsi="Times New Roman" w:cs="Times New Roman"/>
          <w:color w:val="000000"/>
          <w:sz w:val="24"/>
          <w:szCs w:val="24"/>
          <w:lang w:eastAsia="ru-RU"/>
        </w:rPr>
        <w:t>(Основание ПУЭ п.7.1.60).</w:t>
      </w:r>
    </w:p>
    <w:p w14:paraId="0BDFAFAD" w14:textId="77777777" w:rsidR="00DA66BD" w:rsidRPr="00CB6462" w:rsidRDefault="00DA66BD" w:rsidP="00DA66BD">
      <w:pPr>
        <w:shd w:val="clear" w:color="auto" w:fill="FFFFFF"/>
        <w:spacing w:before="195" w:after="195" w:line="375" w:lineRule="atLeast"/>
        <w:textAlignment w:val="baseline"/>
        <w:rPr>
          <w:rFonts w:ascii="Times New Roman" w:eastAsia="Times New Roman" w:hAnsi="Times New Roman" w:cs="Times New Roman"/>
          <w:color w:val="000000"/>
          <w:sz w:val="24"/>
          <w:szCs w:val="24"/>
          <w:lang w:eastAsia="ru-RU"/>
        </w:rPr>
      </w:pPr>
      <w:r w:rsidRPr="00CB6462">
        <w:rPr>
          <w:rFonts w:ascii="Times New Roman" w:eastAsia="Times New Roman" w:hAnsi="Times New Roman" w:cs="Times New Roman"/>
          <w:color w:val="000000"/>
          <w:sz w:val="24"/>
          <w:szCs w:val="24"/>
          <w:lang w:eastAsia="ru-RU"/>
        </w:rPr>
        <w:t>9. В общественных зданиях расчетные приборы учета электроэнергии должны устанавливаться на ВРУ (ГРЩ) в точках балансового разграничения с энергоснабжающей организацией. При наличии встроенных или пристроенных трансформаторных подстанций, мощность которых полностью используется потребителями данного здания, расчетные приборы учета должны устанавливаться на выводах низшего напряжения силовых трансформаторов на совмещенных щитах низкого напряжения, являющихся одновременно ВРУ здания.</w:t>
      </w:r>
    </w:p>
    <w:p w14:paraId="1F634948" w14:textId="77777777" w:rsidR="00DA66BD" w:rsidRPr="00CB6462" w:rsidRDefault="00DA66BD" w:rsidP="00DA66BD">
      <w:pPr>
        <w:shd w:val="clear" w:color="auto" w:fill="FFFFFF"/>
        <w:spacing w:before="195" w:after="195" w:line="375" w:lineRule="atLeast"/>
        <w:textAlignment w:val="baseline"/>
        <w:rPr>
          <w:rFonts w:ascii="Times New Roman" w:eastAsia="Times New Roman" w:hAnsi="Times New Roman" w:cs="Times New Roman"/>
          <w:color w:val="000000"/>
          <w:sz w:val="24"/>
          <w:szCs w:val="24"/>
          <w:lang w:eastAsia="ru-RU"/>
        </w:rPr>
      </w:pPr>
      <w:r w:rsidRPr="00CB6462">
        <w:rPr>
          <w:rFonts w:ascii="Times New Roman" w:eastAsia="Times New Roman" w:hAnsi="Times New Roman" w:cs="Times New Roman"/>
          <w:color w:val="000000"/>
          <w:sz w:val="24"/>
          <w:szCs w:val="24"/>
          <w:lang w:eastAsia="ru-RU"/>
        </w:rPr>
        <w:t>ВРУ и приборы учета разных абонентов, размещенных в одном здании, допускается устанавливать в одном общем помещении. По согласованию с энергоснабжающей организацией расчетные приборы учета могут устанавливаться у одного из потребителей, от ВРУ которого питаются прочие потребители, размещенные в данном здании. При этом на вводах питающих линий в помещениях этих прочих потребителей следует устанавливать контрольные приборы учета для расчета с основным абонентом.</w:t>
      </w:r>
    </w:p>
    <w:p w14:paraId="3EFF02EF" w14:textId="77777777" w:rsidR="00DA66BD" w:rsidRPr="00CB6462" w:rsidRDefault="00DA66BD" w:rsidP="00DA66BD">
      <w:pPr>
        <w:shd w:val="clear" w:color="auto" w:fill="FFFFFF"/>
        <w:spacing w:before="195" w:after="195" w:line="375" w:lineRule="atLeast"/>
        <w:textAlignment w:val="baseline"/>
        <w:rPr>
          <w:rFonts w:ascii="Times New Roman" w:eastAsia="Times New Roman" w:hAnsi="Times New Roman" w:cs="Times New Roman"/>
          <w:color w:val="000000"/>
          <w:sz w:val="24"/>
          <w:szCs w:val="24"/>
          <w:lang w:eastAsia="ru-RU"/>
        </w:rPr>
      </w:pPr>
      <w:r w:rsidRPr="00CB6462">
        <w:rPr>
          <w:rFonts w:ascii="Times New Roman" w:eastAsia="Times New Roman" w:hAnsi="Times New Roman" w:cs="Times New Roman"/>
          <w:color w:val="000000"/>
          <w:sz w:val="24"/>
          <w:szCs w:val="24"/>
          <w:lang w:eastAsia="ru-RU"/>
        </w:rPr>
        <w:t>(Основание ПУЭ п.7.1.61).</w:t>
      </w:r>
    </w:p>
    <w:p w14:paraId="58205201" w14:textId="77777777" w:rsidR="00DA66BD" w:rsidRPr="00CB6462" w:rsidRDefault="00DA66BD" w:rsidP="00DA66BD">
      <w:pPr>
        <w:shd w:val="clear" w:color="auto" w:fill="FFFFFF"/>
        <w:spacing w:before="195" w:after="195" w:line="375" w:lineRule="atLeast"/>
        <w:textAlignment w:val="baseline"/>
        <w:rPr>
          <w:rFonts w:ascii="Times New Roman" w:eastAsia="Times New Roman" w:hAnsi="Times New Roman" w:cs="Times New Roman"/>
          <w:color w:val="000000"/>
          <w:sz w:val="24"/>
          <w:szCs w:val="24"/>
          <w:lang w:eastAsia="ru-RU"/>
        </w:rPr>
      </w:pPr>
      <w:r w:rsidRPr="00CB6462">
        <w:rPr>
          <w:rFonts w:ascii="Times New Roman" w:eastAsia="Times New Roman" w:hAnsi="Times New Roman" w:cs="Times New Roman"/>
          <w:color w:val="000000"/>
          <w:sz w:val="24"/>
          <w:szCs w:val="24"/>
          <w:lang w:eastAsia="ru-RU"/>
        </w:rPr>
        <w:t>10. Расчетные приборы учета для общедомовой нагрузки жилых зданий (освещение лестничных клеток, контор домоуправлений, дворовое освещение и т.п.) рекомендуется устанавливать в шкафах ВРУ или на панелях ГРЩ.</w:t>
      </w:r>
    </w:p>
    <w:p w14:paraId="6AF6DFA1" w14:textId="77777777" w:rsidR="00DA66BD" w:rsidRPr="00CB6462" w:rsidRDefault="00DA66BD" w:rsidP="00DA66BD">
      <w:pPr>
        <w:shd w:val="clear" w:color="auto" w:fill="FFFFFF"/>
        <w:spacing w:before="195" w:after="195" w:line="375" w:lineRule="atLeast"/>
        <w:textAlignment w:val="baseline"/>
        <w:rPr>
          <w:rFonts w:ascii="Times New Roman" w:eastAsia="Times New Roman" w:hAnsi="Times New Roman" w:cs="Times New Roman"/>
          <w:color w:val="000000"/>
          <w:sz w:val="24"/>
          <w:szCs w:val="24"/>
          <w:lang w:eastAsia="ru-RU"/>
        </w:rPr>
      </w:pPr>
      <w:r w:rsidRPr="00CB6462">
        <w:rPr>
          <w:rFonts w:ascii="Times New Roman" w:eastAsia="Times New Roman" w:hAnsi="Times New Roman" w:cs="Times New Roman"/>
          <w:color w:val="000000"/>
          <w:sz w:val="24"/>
          <w:szCs w:val="24"/>
          <w:lang w:eastAsia="ru-RU"/>
        </w:rPr>
        <w:t>(Основание ПУЭ п.7.1.62).</w:t>
      </w:r>
    </w:p>
    <w:p w14:paraId="1BEE1994" w14:textId="77777777" w:rsidR="00DA66BD" w:rsidRPr="00CB6462" w:rsidRDefault="00DA66BD" w:rsidP="00DA66BD">
      <w:pPr>
        <w:shd w:val="clear" w:color="auto" w:fill="FFFFFF"/>
        <w:spacing w:before="195" w:after="195" w:line="375" w:lineRule="atLeast"/>
        <w:textAlignment w:val="baseline"/>
        <w:rPr>
          <w:rFonts w:ascii="Times New Roman" w:eastAsia="Times New Roman" w:hAnsi="Times New Roman" w:cs="Times New Roman"/>
          <w:color w:val="000000"/>
          <w:sz w:val="24"/>
          <w:szCs w:val="24"/>
          <w:lang w:eastAsia="ru-RU"/>
        </w:rPr>
      </w:pPr>
      <w:r w:rsidRPr="00CB6462">
        <w:rPr>
          <w:rFonts w:ascii="Times New Roman" w:eastAsia="Times New Roman" w:hAnsi="Times New Roman" w:cs="Times New Roman"/>
          <w:color w:val="000000"/>
          <w:sz w:val="24"/>
          <w:szCs w:val="24"/>
          <w:lang w:eastAsia="ru-RU"/>
        </w:rPr>
        <w:t>11. В жилых зданиях следует устанавливать один одно- или трехфазный расчетный прибор учета (при трехфазном вводе) на каждую квартиру</w:t>
      </w:r>
    </w:p>
    <w:p w14:paraId="1858006F" w14:textId="77777777" w:rsidR="00DA66BD" w:rsidRPr="00CB6462" w:rsidRDefault="00DA66BD" w:rsidP="00DA66BD">
      <w:pPr>
        <w:shd w:val="clear" w:color="auto" w:fill="FFFFFF"/>
        <w:spacing w:before="195" w:after="195" w:line="375" w:lineRule="atLeast"/>
        <w:textAlignment w:val="baseline"/>
        <w:rPr>
          <w:rFonts w:ascii="Times New Roman" w:eastAsia="Times New Roman" w:hAnsi="Times New Roman" w:cs="Times New Roman"/>
          <w:color w:val="000000"/>
          <w:sz w:val="24"/>
          <w:szCs w:val="24"/>
          <w:lang w:eastAsia="ru-RU"/>
        </w:rPr>
      </w:pPr>
      <w:r w:rsidRPr="00CB6462">
        <w:rPr>
          <w:rFonts w:ascii="Times New Roman" w:eastAsia="Times New Roman" w:hAnsi="Times New Roman" w:cs="Times New Roman"/>
          <w:color w:val="000000"/>
          <w:sz w:val="24"/>
          <w:szCs w:val="24"/>
          <w:lang w:eastAsia="ru-RU"/>
        </w:rPr>
        <w:lastRenderedPageBreak/>
        <w:t>(Основание ПУЭ п.7.1.59).</w:t>
      </w:r>
    </w:p>
    <w:p w14:paraId="0315689C" w14:textId="77777777" w:rsidR="00DA66BD" w:rsidRPr="00CB6462" w:rsidRDefault="00DA66BD" w:rsidP="00DA66BD">
      <w:pPr>
        <w:shd w:val="clear" w:color="auto" w:fill="FFFFFF"/>
        <w:spacing w:before="195" w:after="195" w:line="375" w:lineRule="atLeast"/>
        <w:textAlignment w:val="baseline"/>
        <w:rPr>
          <w:rFonts w:ascii="Times New Roman" w:eastAsia="Times New Roman" w:hAnsi="Times New Roman" w:cs="Times New Roman"/>
          <w:color w:val="000000"/>
          <w:sz w:val="24"/>
          <w:szCs w:val="24"/>
          <w:lang w:eastAsia="ru-RU"/>
        </w:rPr>
      </w:pPr>
      <w:r w:rsidRPr="00CB6462">
        <w:rPr>
          <w:rFonts w:ascii="Times New Roman" w:eastAsia="Times New Roman" w:hAnsi="Times New Roman" w:cs="Times New Roman"/>
          <w:color w:val="000000"/>
          <w:sz w:val="24"/>
          <w:szCs w:val="24"/>
          <w:lang w:eastAsia="ru-RU"/>
        </w:rPr>
        <w:t>12. Расчетные квартирные приборы учета рекомендуется размещать совместно с аппаратами защиты (автоматическими выключателями, предохранителями).</w:t>
      </w:r>
    </w:p>
    <w:p w14:paraId="675AEAAE" w14:textId="77777777" w:rsidR="00DA66BD" w:rsidRPr="00CB6462" w:rsidRDefault="00DA66BD" w:rsidP="00DA66BD">
      <w:pPr>
        <w:shd w:val="clear" w:color="auto" w:fill="FFFFFF"/>
        <w:spacing w:before="195" w:after="195" w:line="375" w:lineRule="atLeast"/>
        <w:textAlignment w:val="baseline"/>
        <w:rPr>
          <w:rFonts w:ascii="Times New Roman" w:eastAsia="Times New Roman" w:hAnsi="Times New Roman" w:cs="Times New Roman"/>
          <w:color w:val="000000"/>
          <w:sz w:val="24"/>
          <w:szCs w:val="24"/>
          <w:lang w:eastAsia="ru-RU"/>
        </w:rPr>
      </w:pPr>
      <w:r w:rsidRPr="00CB6462">
        <w:rPr>
          <w:rFonts w:ascii="Times New Roman" w:eastAsia="Times New Roman" w:hAnsi="Times New Roman" w:cs="Times New Roman"/>
          <w:color w:val="000000"/>
          <w:sz w:val="24"/>
          <w:szCs w:val="24"/>
          <w:lang w:eastAsia="ru-RU"/>
        </w:rPr>
        <w:t>При установке квартирных щитков в прихожих квартир приборы учета, как правило, должны устанавливаться на этих щитках, допускается установка счетчиков на этажных щитках.</w:t>
      </w:r>
    </w:p>
    <w:p w14:paraId="25EA1664" w14:textId="77777777" w:rsidR="00DA66BD" w:rsidRPr="00CB6462" w:rsidRDefault="00DA66BD" w:rsidP="00DA66BD">
      <w:pPr>
        <w:shd w:val="clear" w:color="auto" w:fill="FFFFFF"/>
        <w:spacing w:before="195" w:after="195" w:line="375" w:lineRule="atLeast"/>
        <w:textAlignment w:val="baseline"/>
        <w:rPr>
          <w:rFonts w:ascii="Times New Roman" w:eastAsia="Times New Roman" w:hAnsi="Times New Roman" w:cs="Times New Roman"/>
          <w:color w:val="000000"/>
          <w:sz w:val="24"/>
          <w:szCs w:val="24"/>
          <w:lang w:eastAsia="ru-RU"/>
        </w:rPr>
      </w:pPr>
      <w:r w:rsidRPr="00CB6462">
        <w:rPr>
          <w:rFonts w:ascii="Times New Roman" w:eastAsia="Times New Roman" w:hAnsi="Times New Roman" w:cs="Times New Roman"/>
          <w:color w:val="000000"/>
          <w:sz w:val="24"/>
          <w:szCs w:val="24"/>
          <w:lang w:eastAsia="ru-RU"/>
        </w:rPr>
        <w:t>(Основание ПУЭ п.7.1.63).</w:t>
      </w:r>
    </w:p>
    <w:p w14:paraId="2069CA81" w14:textId="77777777" w:rsidR="00DA66BD" w:rsidRPr="00CB6462" w:rsidRDefault="00DA66BD" w:rsidP="00DA66BD">
      <w:pPr>
        <w:shd w:val="clear" w:color="auto" w:fill="FFFFFF"/>
        <w:spacing w:before="195" w:after="195" w:line="375" w:lineRule="atLeast"/>
        <w:textAlignment w:val="baseline"/>
        <w:rPr>
          <w:rFonts w:ascii="Times New Roman" w:eastAsia="Times New Roman" w:hAnsi="Times New Roman" w:cs="Times New Roman"/>
          <w:color w:val="000000"/>
          <w:sz w:val="24"/>
          <w:szCs w:val="24"/>
          <w:lang w:eastAsia="ru-RU"/>
        </w:rPr>
      </w:pPr>
      <w:r w:rsidRPr="00CB6462">
        <w:rPr>
          <w:rFonts w:ascii="Times New Roman" w:eastAsia="Times New Roman" w:hAnsi="Times New Roman" w:cs="Times New Roman"/>
          <w:color w:val="000000"/>
          <w:sz w:val="24"/>
          <w:szCs w:val="24"/>
          <w:lang w:eastAsia="ru-RU"/>
        </w:rPr>
        <w:t>Требования к местам установки приборов учёта производителей электрической энергии на розничном рынке:</w:t>
      </w:r>
    </w:p>
    <w:p w14:paraId="158A77FB" w14:textId="77777777" w:rsidR="00DA66BD" w:rsidRPr="00CB6462" w:rsidRDefault="00DA66BD" w:rsidP="00DA66BD">
      <w:pPr>
        <w:shd w:val="clear" w:color="auto" w:fill="FFFFFF"/>
        <w:spacing w:before="195" w:after="195" w:line="375" w:lineRule="atLeast"/>
        <w:textAlignment w:val="baseline"/>
        <w:rPr>
          <w:rFonts w:ascii="Times New Roman" w:eastAsia="Times New Roman" w:hAnsi="Times New Roman" w:cs="Times New Roman"/>
          <w:color w:val="000000"/>
          <w:sz w:val="24"/>
          <w:szCs w:val="24"/>
          <w:lang w:eastAsia="ru-RU"/>
        </w:rPr>
      </w:pPr>
      <w:r w:rsidRPr="00CB6462">
        <w:rPr>
          <w:rFonts w:ascii="Times New Roman" w:eastAsia="Times New Roman" w:hAnsi="Times New Roman" w:cs="Times New Roman"/>
          <w:color w:val="000000"/>
          <w:sz w:val="24"/>
          <w:szCs w:val="24"/>
          <w:lang w:eastAsia="ru-RU"/>
        </w:rPr>
        <w:t>1. Субъект розничных рынков, владеющий на праве собственности или на ином законном основании объектом по производству электрической энергии (мощности) и энергопринимающими устройствами, соединенными принадлежащими этому субъекту на праве собственности или на ином законном основании объектами электросетевого хозяйства, по которым осуществляется передача всего или части объема электрической энергии, потребляемой указанными энергопринимающими устройствами такого субъекта, в целях участия на розничных рынках в отношениях по продаже электрической энергии (мощности), произведенной на принадлежащих ему объектах по производству электрической энергии (мощности), обязан обеспечить раздельный почасовой учет производства и собственного потребления электрической энергии в соответствии с требованиями настоящего документа.</w:t>
      </w:r>
    </w:p>
    <w:p w14:paraId="0D9E8308" w14:textId="38CDC875" w:rsidR="00310548" w:rsidRPr="00CB6462" w:rsidRDefault="00DA66BD" w:rsidP="00310548">
      <w:pPr>
        <w:shd w:val="clear" w:color="auto" w:fill="FFFFFF"/>
        <w:spacing w:before="195" w:after="195" w:line="375" w:lineRule="atLeast"/>
        <w:textAlignment w:val="baseline"/>
        <w:rPr>
          <w:rFonts w:ascii="Times New Roman" w:eastAsia="Times New Roman" w:hAnsi="Times New Roman" w:cs="Times New Roman"/>
          <w:color w:val="000000"/>
          <w:sz w:val="24"/>
          <w:szCs w:val="24"/>
          <w:lang w:eastAsia="ru-RU"/>
        </w:rPr>
      </w:pPr>
      <w:r w:rsidRPr="00CB6462">
        <w:rPr>
          <w:rFonts w:ascii="Times New Roman" w:eastAsia="Times New Roman" w:hAnsi="Times New Roman" w:cs="Times New Roman"/>
          <w:color w:val="000000"/>
          <w:sz w:val="24"/>
          <w:szCs w:val="24"/>
          <w:lang w:eastAsia="ru-RU"/>
        </w:rPr>
        <w:t>(Основание п. 63 ПП РФ №442</w:t>
      </w:r>
      <w:r w:rsidR="00310548" w:rsidRPr="00CB6462">
        <w:rPr>
          <w:rFonts w:ascii="Times New Roman" w:eastAsia="Times New Roman" w:hAnsi="Times New Roman" w:cs="Times New Roman"/>
          <w:color w:val="000000"/>
          <w:sz w:val="24"/>
          <w:szCs w:val="24"/>
          <w:lang w:eastAsia="ru-RU"/>
        </w:rPr>
        <w:t>, редакция №63 от 15.07.2022г.).</w:t>
      </w:r>
    </w:p>
    <w:p w14:paraId="5FFC8E48" w14:textId="6636DC69" w:rsidR="00DA66BD" w:rsidRPr="00CB6462" w:rsidRDefault="00DA66BD" w:rsidP="00DA66BD">
      <w:pPr>
        <w:shd w:val="clear" w:color="auto" w:fill="FFFFFF"/>
        <w:spacing w:before="195" w:after="195" w:line="375" w:lineRule="atLeast"/>
        <w:textAlignment w:val="baseline"/>
        <w:rPr>
          <w:rFonts w:ascii="Times New Roman" w:eastAsia="Times New Roman" w:hAnsi="Times New Roman" w:cs="Times New Roman"/>
          <w:color w:val="000000"/>
          <w:sz w:val="24"/>
          <w:szCs w:val="24"/>
          <w:lang w:eastAsia="ru-RU"/>
        </w:rPr>
      </w:pPr>
      <w:r w:rsidRPr="00CB6462">
        <w:rPr>
          <w:rFonts w:ascii="Times New Roman" w:eastAsia="Times New Roman" w:hAnsi="Times New Roman" w:cs="Times New Roman"/>
          <w:color w:val="000000"/>
          <w:sz w:val="24"/>
          <w:szCs w:val="24"/>
          <w:lang w:eastAsia="ru-RU"/>
        </w:rPr>
        <w:t>2. Приборы учета объемов производства электрической энергии производителями электрической энергии (мощности) на розничных рынках</w:t>
      </w:r>
      <w:r w:rsidR="00DF587C" w:rsidRPr="00CB6462">
        <w:rPr>
          <w:rFonts w:ascii="Times New Roman" w:eastAsia="Times New Roman" w:hAnsi="Times New Roman" w:cs="Times New Roman"/>
          <w:color w:val="000000"/>
          <w:sz w:val="24"/>
          <w:szCs w:val="24"/>
          <w:lang w:eastAsia="ru-RU"/>
        </w:rPr>
        <w:t>,</w:t>
      </w:r>
      <w:r w:rsidR="00DF587C" w:rsidRPr="00CB6462">
        <w:rPr>
          <w:rFonts w:ascii="Times New Roman" w:hAnsi="Times New Roman" w:cs="Times New Roman"/>
        </w:rPr>
        <w:t xml:space="preserve"> </w:t>
      </w:r>
      <w:r w:rsidR="00DF587C" w:rsidRPr="00CB6462">
        <w:rPr>
          <w:rFonts w:ascii="Times New Roman" w:eastAsia="Times New Roman" w:hAnsi="Times New Roman" w:cs="Times New Roman"/>
          <w:color w:val="000000"/>
          <w:sz w:val="24"/>
          <w:szCs w:val="24"/>
          <w:lang w:eastAsia="ru-RU"/>
        </w:rPr>
        <w:t xml:space="preserve">за исключением объектов </w:t>
      </w:r>
      <w:proofErr w:type="spellStart"/>
      <w:r w:rsidR="00DF587C" w:rsidRPr="00CB6462">
        <w:rPr>
          <w:rFonts w:ascii="Times New Roman" w:eastAsia="Times New Roman" w:hAnsi="Times New Roman" w:cs="Times New Roman"/>
          <w:color w:val="000000"/>
          <w:sz w:val="24"/>
          <w:szCs w:val="24"/>
          <w:lang w:eastAsia="ru-RU"/>
        </w:rPr>
        <w:t>микрогенерации</w:t>
      </w:r>
      <w:proofErr w:type="spellEnd"/>
      <w:r w:rsidR="00DF587C" w:rsidRPr="00CB6462">
        <w:rPr>
          <w:rFonts w:ascii="Times New Roman" w:eastAsia="Times New Roman" w:hAnsi="Times New Roman" w:cs="Times New Roman"/>
          <w:color w:val="000000"/>
          <w:sz w:val="24"/>
          <w:szCs w:val="24"/>
          <w:lang w:eastAsia="ru-RU"/>
        </w:rPr>
        <w:t>,</w:t>
      </w:r>
      <w:r w:rsidRPr="00CB6462">
        <w:rPr>
          <w:rFonts w:ascii="Times New Roman" w:eastAsia="Times New Roman" w:hAnsi="Times New Roman" w:cs="Times New Roman"/>
          <w:color w:val="000000"/>
          <w:sz w:val="24"/>
          <w:szCs w:val="24"/>
          <w:lang w:eastAsia="ru-RU"/>
        </w:rPr>
        <w:t xml:space="preserve"> должны устанавливаться в местах присоединения объектов по производству электрической энергии (мощности) к энергопринимающим устройствам и (или) иным объектам электроэнергетики производителя электрической энергии (мощности) на розничном рынке, а также на границе балансовой принадлежности производителя электрической энергии (мощности) на розничном рынке и смежных субъектов (потребителей, сетевых организаций).</w:t>
      </w:r>
    </w:p>
    <w:p w14:paraId="76EB4C46" w14:textId="5F00D302" w:rsidR="00DA66BD" w:rsidRPr="00CB6462" w:rsidRDefault="00DA66BD" w:rsidP="00DF587C">
      <w:pPr>
        <w:autoSpaceDE w:val="0"/>
        <w:autoSpaceDN w:val="0"/>
        <w:adjustRightInd w:val="0"/>
        <w:spacing w:after="0" w:line="240" w:lineRule="auto"/>
        <w:jc w:val="both"/>
        <w:rPr>
          <w:rFonts w:ascii="Times New Roman" w:hAnsi="Times New Roman" w:cs="Times New Roman"/>
          <w:sz w:val="24"/>
          <w:szCs w:val="24"/>
        </w:rPr>
      </w:pPr>
      <w:r w:rsidRPr="00CB6462">
        <w:rPr>
          <w:rFonts w:ascii="Times New Roman" w:eastAsia="Times New Roman" w:hAnsi="Times New Roman" w:cs="Times New Roman"/>
          <w:color w:val="000000"/>
          <w:sz w:val="24"/>
          <w:szCs w:val="24"/>
          <w:lang w:eastAsia="ru-RU"/>
        </w:rPr>
        <w:t xml:space="preserve">(Основание п. </w:t>
      </w:r>
      <w:r w:rsidR="00DF587C" w:rsidRPr="00CB6462">
        <w:rPr>
          <w:rFonts w:ascii="Times New Roman" w:eastAsia="Times New Roman" w:hAnsi="Times New Roman" w:cs="Times New Roman"/>
          <w:color w:val="000000"/>
          <w:sz w:val="24"/>
          <w:szCs w:val="24"/>
          <w:lang w:eastAsia="ru-RU"/>
        </w:rPr>
        <w:t>141</w:t>
      </w:r>
      <w:r w:rsidR="00CC5D4F" w:rsidRPr="00CB6462">
        <w:rPr>
          <w:rFonts w:ascii="Times New Roman" w:eastAsia="Times New Roman" w:hAnsi="Times New Roman" w:cs="Times New Roman"/>
          <w:color w:val="000000"/>
          <w:sz w:val="24"/>
          <w:szCs w:val="24"/>
          <w:lang w:eastAsia="ru-RU"/>
        </w:rPr>
        <w:t>, п. 147</w:t>
      </w:r>
      <w:r w:rsidR="00DF587C" w:rsidRPr="00CB6462">
        <w:rPr>
          <w:rFonts w:ascii="Times New Roman" w:eastAsia="Times New Roman" w:hAnsi="Times New Roman" w:cs="Times New Roman"/>
          <w:color w:val="000000"/>
          <w:sz w:val="24"/>
          <w:szCs w:val="24"/>
          <w:lang w:eastAsia="ru-RU"/>
        </w:rPr>
        <w:t> ПП</w:t>
      </w:r>
      <w:r w:rsidRPr="00CB6462">
        <w:rPr>
          <w:rFonts w:ascii="Times New Roman" w:eastAsia="Times New Roman" w:hAnsi="Times New Roman" w:cs="Times New Roman"/>
          <w:color w:val="000000"/>
          <w:sz w:val="24"/>
          <w:szCs w:val="24"/>
          <w:lang w:eastAsia="ru-RU"/>
        </w:rPr>
        <w:t xml:space="preserve"> РФ №442</w:t>
      </w:r>
      <w:r w:rsidR="00DF587C" w:rsidRPr="00CB6462">
        <w:rPr>
          <w:rFonts w:ascii="Times New Roman" w:eastAsia="Times New Roman" w:hAnsi="Times New Roman" w:cs="Times New Roman"/>
          <w:color w:val="000000"/>
          <w:sz w:val="24"/>
          <w:szCs w:val="24"/>
          <w:lang w:eastAsia="ru-RU"/>
        </w:rPr>
        <w:t>, редакция №63 от 15.07.2022г.</w:t>
      </w:r>
      <w:r w:rsidR="00DF587C" w:rsidRPr="00CB6462">
        <w:rPr>
          <w:rFonts w:ascii="Times New Roman" w:hAnsi="Times New Roman" w:cs="Times New Roman"/>
          <w:sz w:val="24"/>
          <w:szCs w:val="24"/>
        </w:rPr>
        <w:t>)</w:t>
      </w:r>
      <w:r w:rsidR="00DF587C" w:rsidRPr="00CB6462">
        <w:rPr>
          <w:rFonts w:ascii="Times New Roman" w:hAnsi="Times New Roman" w:cs="Times New Roman"/>
          <w:sz w:val="24"/>
          <w:szCs w:val="24"/>
        </w:rPr>
        <w:t>.</w:t>
      </w:r>
    </w:p>
    <w:p w14:paraId="5867FF1B" w14:textId="77777777" w:rsidR="000E2F38" w:rsidRDefault="000E2F38">
      <w:r>
        <w:t xml:space="preserve"> </w:t>
      </w:r>
      <w:bookmarkStart w:id="0" w:name="_GoBack"/>
      <w:bookmarkEnd w:id="0"/>
    </w:p>
    <w:sectPr w:rsidR="000E2F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7226"/>
    <w:rsid w:val="000E2F38"/>
    <w:rsid w:val="001948DA"/>
    <w:rsid w:val="00310548"/>
    <w:rsid w:val="003657C6"/>
    <w:rsid w:val="00384CFF"/>
    <w:rsid w:val="003A73F5"/>
    <w:rsid w:val="00887226"/>
    <w:rsid w:val="008D7663"/>
    <w:rsid w:val="00BD785C"/>
    <w:rsid w:val="00C35F7B"/>
    <w:rsid w:val="00CB6462"/>
    <w:rsid w:val="00CC5D4F"/>
    <w:rsid w:val="00DA66BD"/>
    <w:rsid w:val="00DF587C"/>
    <w:rsid w:val="00FC0B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3C6CC"/>
  <w15:chartTrackingRefBased/>
  <w15:docId w15:val="{84E6B32D-3312-44E0-B9C2-5F03A5F5E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DA66B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A66BD"/>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DA66B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1715776">
      <w:bodyDiv w:val="1"/>
      <w:marLeft w:val="0"/>
      <w:marRight w:val="0"/>
      <w:marTop w:val="0"/>
      <w:marBottom w:val="0"/>
      <w:divBdr>
        <w:top w:val="none" w:sz="0" w:space="0" w:color="auto"/>
        <w:left w:val="none" w:sz="0" w:space="0" w:color="auto"/>
        <w:bottom w:val="none" w:sz="0" w:space="0" w:color="auto"/>
        <w:right w:val="none" w:sz="0" w:space="0" w:color="auto"/>
      </w:divBdr>
      <w:divsChild>
        <w:div w:id="1157556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1105</TotalTime>
  <Pages>4</Pages>
  <Words>1207</Words>
  <Characters>6882</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Колганова Олеся Александровна</dc:creator>
  <cp:keywords/>
  <dc:description/>
  <cp:lastModifiedBy>Сердюцкий Андрей Владимирович</cp:lastModifiedBy>
  <cp:revision>6</cp:revision>
  <dcterms:created xsi:type="dcterms:W3CDTF">2018-09-11T06:04:00Z</dcterms:created>
  <dcterms:modified xsi:type="dcterms:W3CDTF">2022-11-15T07:42:00Z</dcterms:modified>
</cp:coreProperties>
</file>